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23689F">
        <w:rPr>
          <w:b/>
          <w:szCs w:val="28"/>
        </w:rPr>
        <w:t>СТАНДАРТ СПЕЦИАЛИЗИРОВАННОЙ МЕДИЦИНСКОЙ ПОМОЩИ ПРИ ОСТРОМ НЕКРОТИЧЕСКОМ ЯЗВЕННОМ ГИНГИВИТЕ (АМБУЛАТОРНО)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23689F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специализированная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амбулаторно-поликлинические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неотложная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23689F">
        <w:rPr>
          <w:szCs w:val="28"/>
        </w:rPr>
        <w:t>14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23689F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A69.1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инфекции Венсана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23689F" w:rsidRDefault="00542E93" w:rsidP="00542E93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 xml:space="preserve">Прием (осмотр, консультация) </w:t>
            </w:r>
            <w:proofErr w:type="spellStart"/>
            <w:r w:rsidRPr="0023689F">
              <w:rPr>
                <w:szCs w:val="28"/>
              </w:rPr>
              <w:t>врача-дерматовенеролога</w:t>
            </w:r>
            <w:proofErr w:type="spellEnd"/>
            <w:r w:rsidRPr="0023689F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</w:p>
        </w:tc>
        <w:tc>
          <w:tcPr>
            <w:tcW w:w="2977" w:type="pct"/>
          </w:tcPr>
          <w:p w:rsidR="00542E93" w:rsidRPr="0023689F" w:rsidRDefault="00542E93" w:rsidP="00542E93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23689F" w:rsidRDefault="00542E93" w:rsidP="00542E93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23689F" w:rsidRDefault="00BF6098" w:rsidP="00A4699D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Определение антигена к вирусу гепатита</w:t>
            </w:r>
            <w:proofErr w:type="gramStart"/>
            <w:r w:rsidRPr="0023689F">
              <w:rPr>
                <w:szCs w:val="28"/>
              </w:rPr>
              <w:t xml:space="preserve"> В</w:t>
            </w:r>
            <w:proofErr w:type="gramEnd"/>
            <w:r w:rsidRPr="0023689F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3689F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23689F" w:rsidRDefault="00BF6098" w:rsidP="00A4699D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3689F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3689F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23689F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23689F">
              <w:rPr>
                <w:szCs w:val="28"/>
              </w:rPr>
              <w:t>) к вирусному гепатиту</w:t>
            </w:r>
            <w:proofErr w:type="gramStart"/>
            <w:r w:rsidRPr="0023689F">
              <w:rPr>
                <w:szCs w:val="28"/>
              </w:rPr>
              <w:t xml:space="preserve"> С</w:t>
            </w:r>
            <w:proofErr w:type="gramEnd"/>
            <w:r w:rsidRPr="0023689F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3689F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23689F" w:rsidRDefault="00BF6098" w:rsidP="00A4699D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3689F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3689F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23689F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23689F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23689F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23689F" w:rsidRDefault="00BF6098" w:rsidP="00A4699D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3689F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3689F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23689F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23689F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3689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23689F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A26.07.004</w:t>
            </w:r>
          </w:p>
        </w:tc>
        <w:tc>
          <w:tcPr>
            <w:tcW w:w="2977" w:type="pct"/>
          </w:tcPr>
          <w:p w:rsidR="00BF6098" w:rsidRPr="0023689F" w:rsidRDefault="00BF6098" w:rsidP="00A4699D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 xml:space="preserve">Бактериологическое исследование отделяемого слизистой полости рта на </w:t>
            </w:r>
            <w:proofErr w:type="spellStart"/>
            <w:r w:rsidRPr="0023689F">
              <w:rPr>
                <w:szCs w:val="28"/>
              </w:rPr>
              <w:t>неспорообразующие</w:t>
            </w:r>
            <w:proofErr w:type="spellEnd"/>
            <w:r w:rsidRPr="0023689F">
              <w:rPr>
                <w:szCs w:val="28"/>
              </w:rPr>
              <w:t xml:space="preserve"> анаэробные микроорганизмы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</w:p>
        </w:tc>
        <w:tc>
          <w:tcPr>
            <w:tcW w:w="2977" w:type="pct"/>
          </w:tcPr>
          <w:p w:rsidR="00BF6098" w:rsidRPr="0023689F" w:rsidRDefault="00BF6098" w:rsidP="00A4699D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23689F" w:rsidRDefault="00AF3525" w:rsidP="005851B5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4"/>
        <w:gridCol w:w="8581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23689F">
        <w:trPr>
          <w:cantSplit/>
        </w:trPr>
        <w:tc>
          <w:tcPr>
            <w:tcW w:w="725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88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2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23689F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A16.07.020</w:t>
            </w:r>
          </w:p>
        </w:tc>
        <w:tc>
          <w:tcPr>
            <w:tcW w:w="2889" w:type="pct"/>
          </w:tcPr>
          <w:p w:rsidR="00AF3525" w:rsidRPr="0023689F" w:rsidRDefault="00AF3525" w:rsidP="005851B5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 xml:space="preserve">Удаление </w:t>
            </w:r>
            <w:proofErr w:type="spellStart"/>
            <w:r w:rsidRPr="0023689F">
              <w:rPr>
                <w:szCs w:val="28"/>
              </w:rPr>
              <w:t>наддесневых</w:t>
            </w:r>
            <w:proofErr w:type="spellEnd"/>
            <w:r w:rsidRPr="0023689F">
              <w:rPr>
                <w:szCs w:val="28"/>
              </w:rPr>
              <w:t xml:space="preserve"> и </w:t>
            </w:r>
            <w:proofErr w:type="spellStart"/>
            <w:r w:rsidRPr="0023689F">
              <w:rPr>
                <w:szCs w:val="28"/>
              </w:rPr>
              <w:t>поддесневых</w:t>
            </w:r>
            <w:proofErr w:type="spellEnd"/>
            <w:r w:rsidRPr="0023689F">
              <w:rPr>
                <w:szCs w:val="28"/>
              </w:rPr>
              <w:t xml:space="preserve"> зубных отложений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23689F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889" w:type="pct"/>
          </w:tcPr>
          <w:p w:rsidR="00AF3525" w:rsidRPr="0023689F" w:rsidRDefault="00AF3525" w:rsidP="005851B5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23689F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23689F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3689F" w:rsidRPr="00A774F9" w:rsidTr="0023689F">
        <w:trPr>
          <w:trHeight w:val="375"/>
        </w:trPr>
        <w:tc>
          <w:tcPr>
            <w:tcW w:w="725" w:type="pct"/>
            <w:vMerge w:val="restart"/>
          </w:tcPr>
          <w:p w:rsidR="0023689F" w:rsidRPr="00A774F9" w:rsidRDefault="0023689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23689F" w:rsidRPr="0023689F" w:rsidRDefault="0023689F" w:rsidP="005851B5">
            <w:pPr>
              <w:rPr>
                <w:szCs w:val="28"/>
              </w:rPr>
            </w:pPr>
            <w:proofErr w:type="spellStart"/>
            <w:r w:rsidRPr="00A774F9">
              <w:rPr>
                <w:szCs w:val="28"/>
                <w:lang w:val="en-US"/>
              </w:rPr>
              <w:t>Инфильтрационная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3689F" w:rsidRPr="00A774F9" w:rsidRDefault="0023689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23689F" w:rsidRPr="00A774F9" w:rsidRDefault="0023689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3689F" w:rsidRPr="00A774F9" w:rsidTr="0023689F">
        <w:trPr>
          <w:trHeight w:val="285"/>
        </w:trPr>
        <w:tc>
          <w:tcPr>
            <w:tcW w:w="725" w:type="pct"/>
            <w:vMerge/>
          </w:tcPr>
          <w:p w:rsidR="0023689F" w:rsidRPr="00A774F9" w:rsidRDefault="0023689F" w:rsidP="005851B5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23689F" w:rsidRPr="0023689F" w:rsidRDefault="0023689F" w:rsidP="005851B5">
            <w:pPr>
              <w:rPr>
                <w:szCs w:val="28"/>
                <w:highlight w:val="red"/>
              </w:rPr>
            </w:pPr>
            <w:r w:rsidRPr="0023689F">
              <w:rPr>
                <w:szCs w:val="28"/>
                <w:highlight w:val="red"/>
              </w:rPr>
              <w:t>Лечение заболеваний слизистой оболочки полости рта</w:t>
            </w:r>
          </w:p>
          <w:p w:rsidR="0023689F" w:rsidRPr="0023689F" w:rsidRDefault="0023689F" w:rsidP="005851B5">
            <w:pPr>
              <w:rPr>
                <w:szCs w:val="28"/>
                <w:highlight w:val="red"/>
              </w:rPr>
            </w:pPr>
            <w:r w:rsidRPr="0023689F">
              <w:rPr>
                <w:szCs w:val="28"/>
                <w:highlight w:val="red"/>
              </w:rPr>
              <w:t>(аппликация лекарственных препаратов на слизистую оболочку полости рта)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23689F" w:rsidRPr="0023689F" w:rsidRDefault="0023689F" w:rsidP="005851B5">
            <w:pPr>
              <w:rPr>
                <w:szCs w:val="28"/>
                <w:highlight w:val="red"/>
              </w:rPr>
            </w:pPr>
            <w:r w:rsidRPr="0023689F">
              <w:rPr>
                <w:szCs w:val="28"/>
                <w:highlight w:val="red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23689F" w:rsidRPr="0023689F" w:rsidRDefault="0023689F" w:rsidP="005851B5">
            <w:pPr>
              <w:rPr>
                <w:szCs w:val="28"/>
                <w:highlight w:val="red"/>
              </w:rPr>
            </w:pPr>
            <w:r w:rsidRPr="0023689F">
              <w:rPr>
                <w:szCs w:val="28"/>
                <w:highlight w:val="red"/>
              </w:rPr>
              <w:t>1-3</w:t>
            </w:r>
          </w:p>
        </w:tc>
      </w:tr>
    </w:tbl>
    <w:p w:rsidR="00AF3525" w:rsidRPr="0023689F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512268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7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A13.30.007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гигиене полости рта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="00BF6098" w:rsidRPr="0023689F" w:rsidRDefault="00BF6098" w:rsidP="00A774F9">
            <w:pPr>
              <w:spacing w:after="0" w:line="240" w:lineRule="auto"/>
              <w:rPr>
                <w:szCs w:val="28"/>
              </w:rPr>
            </w:pPr>
            <w:r w:rsidRPr="0023689F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23689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D03BA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Протеолитические ферменты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 + Химотрипсин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J01GB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 + Эпинефрин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3689F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AFD"/>
    <w:rsid w:val="004D4FE4"/>
    <w:rsid w:val="004E1A4C"/>
    <w:rsid w:val="004F2633"/>
    <w:rsid w:val="004F673D"/>
    <w:rsid w:val="00512268"/>
    <w:rsid w:val="005351C1"/>
    <w:rsid w:val="00542E93"/>
    <w:rsid w:val="00572A2B"/>
    <w:rsid w:val="0058749F"/>
    <w:rsid w:val="00593809"/>
    <w:rsid w:val="00595D26"/>
    <w:rsid w:val="005B7AF8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E61A6"/>
    <w:rsid w:val="007E7412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6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2012-12-21T07:54:00Z</dcterms:modified>
</cp:coreProperties>
</file>